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77777777" w:rsidR="0068405F" w:rsidRPr="00233F91" w:rsidRDefault="0068405F" w:rsidP="00FC3A1B">
      <w:pPr>
        <w:pStyle w:val="Heading1"/>
        <w:rPr>
          <w:lang w:val="fi-FI"/>
        </w:rPr>
      </w:pPr>
      <w:r w:rsidRPr="00233F91">
        <w:rPr>
          <w:lang w:val="fi-FI"/>
        </w:rPr>
        <w:t>AVOIMEN TIETEEN JA TUTKIMUKSEN TIEKARTAN TOIMEENPANO</w:t>
      </w:r>
    </w:p>
    <w:p w14:paraId="0734F933" w14:textId="489256CF" w:rsidR="0068405F" w:rsidRPr="00970B4B" w:rsidRDefault="0068405F" w:rsidP="00D455B4">
      <w:pPr>
        <w:jc w:val="both"/>
        <w:rPr>
          <w:sz w:val="22"/>
          <w:szCs w:val="22"/>
          <w:lang w:val="fi-FI"/>
        </w:rPr>
      </w:pPr>
      <w:r w:rsidRPr="00970B4B">
        <w:rPr>
          <w:sz w:val="22"/>
          <w:szCs w:val="22"/>
          <w:lang w:val="fi-FI"/>
        </w:rPr>
        <w:t xml:space="preserve">Avoin tiede ja tutkimus tarkoittaa pyrkimyksiä edistää avoimia toimintamalleja tieteellisessä tutkimuksessa. Keskeinen tavoite on tutkimusetiikan ja juridisen toimintaympäristön asettamissa rajoissa tutkimustulosten, tutkimusdatan ja tutkimuksessa käytettyjen menetelmien julkaiseminen siten, että ne ovat kaikkien halukkaiden tarkasteltavissa ja käytettävissä. Avoin tiede ja tutkimus sisältävät käytäntöjä, kuten tutkimusjulkaisujen avoimen saatavuuden (open </w:t>
      </w:r>
      <w:proofErr w:type="spellStart"/>
      <w:r w:rsidRPr="00970B4B">
        <w:rPr>
          <w:sz w:val="22"/>
          <w:szCs w:val="22"/>
          <w:lang w:val="fi-FI"/>
        </w:rPr>
        <w:t>access</w:t>
      </w:r>
      <w:proofErr w:type="spellEnd"/>
      <w:r w:rsidRPr="00970B4B">
        <w:rPr>
          <w:sz w:val="22"/>
          <w:szCs w:val="22"/>
          <w:lang w:val="fi-FI"/>
        </w:rPr>
        <w:t>) edistäminen, tutkimusaineistojen avoin julkaiseminen, avoimen lähdekoodin ja avoimien standardien hyödyntäminen, sekä tutkimusprosessin julkinen dokumentointi niin kutsutun avoimen muistikirjan menetelmällä.</w:t>
      </w:r>
      <w:r w:rsidR="00880986">
        <w:rPr>
          <w:sz w:val="22"/>
          <w:szCs w:val="22"/>
          <w:lang w:val="fi-FI"/>
        </w:rPr>
        <w:t xml:space="preserve"> VM:n Avoimen tiedon ohjelma tukee myös tieteen ja tutkimuksen avoimuutta edistämällä julkishallinnon tuottamien aineistojen käytettävyyttä tutkimuskäyttöön.</w:t>
      </w:r>
    </w:p>
    <w:p w14:paraId="77FF5314" w14:textId="0159FC8C" w:rsidR="00B02989" w:rsidRPr="00970B4B" w:rsidRDefault="00B457DF" w:rsidP="00B02989">
      <w:pPr>
        <w:pStyle w:val="Heading2"/>
        <w:rPr>
          <w:sz w:val="22"/>
          <w:szCs w:val="22"/>
          <w:lang w:val="fi-FI"/>
        </w:rPr>
      </w:pPr>
      <w:r>
        <w:rPr>
          <w:sz w:val="22"/>
          <w:szCs w:val="22"/>
          <w:lang w:val="fi-FI"/>
        </w:rPr>
        <w:t>KYSYMYKSET TUTKIMUSRAHOITTAJILLE</w:t>
      </w:r>
    </w:p>
    <w:tbl>
      <w:tblPr>
        <w:tblStyle w:val="TableGrid"/>
        <w:tblW w:w="0" w:type="auto"/>
        <w:tblLook w:val="04A0" w:firstRow="1" w:lastRow="0" w:firstColumn="1" w:lastColumn="0" w:noHBand="0" w:noVBand="1"/>
      </w:tblPr>
      <w:tblGrid>
        <w:gridCol w:w="2830"/>
        <w:gridCol w:w="7960"/>
      </w:tblGrid>
      <w:tr w:rsidR="002C6E9E" w:rsidRPr="008C4F1F" w14:paraId="7DDA75B5" w14:textId="77777777" w:rsidTr="00D455B4">
        <w:tc>
          <w:tcPr>
            <w:tcW w:w="2830" w:type="dxa"/>
          </w:tcPr>
          <w:p w14:paraId="18E5AE90" w14:textId="05C5259C" w:rsidR="002C6E9E" w:rsidRPr="00970B4B" w:rsidRDefault="00B457DF" w:rsidP="006F75FF">
            <w:pPr>
              <w:jc w:val="both"/>
              <w:rPr>
                <w:b/>
                <w:sz w:val="22"/>
                <w:szCs w:val="22"/>
                <w:lang w:val="fi-FI"/>
              </w:rPr>
            </w:pPr>
            <w:r>
              <w:rPr>
                <w:b/>
                <w:sz w:val="22"/>
                <w:szCs w:val="22"/>
                <w:lang w:val="fi-FI"/>
              </w:rPr>
              <w:t>Tutki</w:t>
            </w:r>
            <w:r w:rsidR="00AE0006">
              <w:rPr>
                <w:b/>
                <w:sz w:val="22"/>
                <w:szCs w:val="22"/>
                <w:lang w:val="fi-FI"/>
              </w:rPr>
              <w:t>m</w:t>
            </w:r>
            <w:r w:rsidR="005878E2">
              <w:rPr>
                <w:b/>
                <w:sz w:val="22"/>
                <w:szCs w:val="22"/>
                <w:lang w:val="fi-FI"/>
              </w:rPr>
              <w:t>usrahoittaja</w:t>
            </w:r>
          </w:p>
        </w:tc>
        <w:tc>
          <w:tcPr>
            <w:tcW w:w="7960" w:type="dxa"/>
          </w:tcPr>
          <w:p w14:paraId="3E6683C8" w14:textId="4E8D4AE6" w:rsidR="002C6E9E" w:rsidRPr="004364E0" w:rsidRDefault="002C6E9E" w:rsidP="006F75FF">
            <w:pPr>
              <w:jc w:val="both"/>
              <w:rPr>
                <w:sz w:val="22"/>
                <w:szCs w:val="22"/>
                <w:lang w:val="fi-FI"/>
              </w:rPr>
            </w:pPr>
          </w:p>
        </w:tc>
      </w:tr>
      <w:tr w:rsidR="00C353B2" w:rsidRPr="002F22BC" w14:paraId="739D82EB" w14:textId="77777777" w:rsidTr="00D455B4">
        <w:tc>
          <w:tcPr>
            <w:tcW w:w="2830" w:type="dxa"/>
          </w:tcPr>
          <w:p w14:paraId="65BFF578" w14:textId="5D101352" w:rsidR="00C353B2" w:rsidRPr="004364E0" w:rsidRDefault="00C353B2" w:rsidP="006F75FF">
            <w:pPr>
              <w:jc w:val="both"/>
              <w:rPr>
                <w:b/>
                <w:sz w:val="22"/>
                <w:szCs w:val="22"/>
                <w:lang w:val="fi-FI"/>
              </w:rPr>
            </w:pPr>
            <w:r w:rsidRPr="004364E0">
              <w:rPr>
                <w:b/>
                <w:sz w:val="22"/>
                <w:szCs w:val="22"/>
                <w:lang w:val="fi-FI"/>
              </w:rPr>
              <w:t>Kyselyn täyttäjä</w:t>
            </w:r>
            <w:r w:rsidR="00D455B4">
              <w:rPr>
                <w:b/>
                <w:sz w:val="22"/>
                <w:szCs w:val="22"/>
                <w:lang w:val="fi-FI"/>
              </w:rPr>
              <w:t>(</w:t>
            </w:r>
            <w:r w:rsidRPr="004364E0">
              <w:rPr>
                <w:b/>
                <w:sz w:val="22"/>
                <w:szCs w:val="22"/>
                <w:lang w:val="fi-FI"/>
              </w:rPr>
              <w:t>t</w:t>
            </w:r>
            <w:r w:rsidR="00D455B4">
              <w:rPr>
                <w:b/>
                <w:sz w:val="22"/>
                <w:szCs w:val="22"/>
                <w:lang w:val="fi-FI"/>
              </w:rPr>
              <w:t>) ja tehtävä organisaatiossa</w:t>
            </w:r>
          </w:p>
        </w:tc>
        <w:tc>
          <w:tcPr>
            <w:tcW w:w="7960" w:type="dxa"/>
          </w:tcPr>
          <w:p w14:paraId="1038F1B6" w14:textId="1D7F2FF3" w:rsidR="00C353B2" w:rsidRPr="004364E0" w:rsidRDefault="00C353B2" w:rsidP="006F75FF">
            <w:pPr>
              <w:jc w:val="both"/>
              <w:rPr>
                <w:sz w:val="22"/>
                <w:szCs w:val="22"/>
                <w:lang w:val="fi-FI"/>
              </w:rPr>
            </w:pPr>
          </w:p>
        </w:tc>
      </w:tr>
    </w:tbl>
    <w:p w14:paraId="7EE52F71" w14:textId="56A7D8D7" w:rsidR="002C6E9E" w:rsidRPr="004364E0" w:rsidRDefault="002C6E9E" w:rsidP="006F75FF">
      <w:pPr>
        <w:jc w:val="both"/>
        <w:rPr>
          <w:sz w:val="22"/>
          <w:szCs w:val="22"/>
          <w:lang w:val="fi-FI"/>
        </w:rPr>
      </w:pPr>
    </w:p>
    <w:p w14:paraId="19231D7B" w14:textId="532A10C5" w:rsidR="006F75FF" w:rsidRPr="00C80BB4" w:rsidRDefault="006F75FF" w:rsidP="005F3B90">
      <w:pPr>
        <w:spacing w:before="0" w:line="240" w:lineRule="auto"/>
        <w:jc w:val="both"/>
        <w:rPr>
          <w:sz w:val="22"/>
          <w:szCs w:val="22"/>
          <w:lang w:val="fi-FI"/>
        </w:rPr>
      </w:pPr>
      <w:r w:rsidRPr="00C80BB4">
        <w:rPr>
          <w:sz w:val="22"/>
          <w:szCs w:val="22"/>
          <w:lang w:val="fi-FI"/>
        </w:rPr>
        <w:t xml:space="preserve">Avoin tiede ja tutkimus -hankkeen tavoitteena </w:t>
      </w:r>
      <w:proofErr w:type="gramStart"/>
      <w:r w:rsidRPr="00C80BB4">
        <w:rPr>
          <w:sz w:val="22"/>
          <w:szCs w:val="22"/>
          <w:lang w:val="fi-FI"/>
        </w:rPr>
        <w:t>on</w:t>
      </w:r>
      <w:proofErr w:type="gramEnd"/>
      <w:r w:rsidRPr="00C80BB4">
        <w:rPr>
          <w:sz w:val="22"/>
          <w:szCs w:val="22"/>
          <w:lang w:val="fi-FI"/>
        </w:rPr>
        <w:t xml:space="preserve">, että vuoteen 2017 mennessä Suomi nousee </w:t>
      </w:r>
      <w:r w:rsidR="008B7F89" w:rsidRPr="00C80BB4">
        <w:rPr>
          <w:sz w:val="22"/>
          <w:szCs w:val="22"/>
          <w:lang w:val="fi-FI"/>
        </w:rPr>
        <w:t>yhdeksi johtav</w:t>
      </w:r>
      <w:r w:rsidRPr="00C80BB4">
        <w:rPr>
          <w:sz w:val="22"/>
          <w:szCs w:val="22"/>
          <w:lang w:val="fi-FI"/>
        </w:rPr>
        <w:t>i</w:t>
      </w:r>
      <w:r w:rsidR="008B7F89" w:rsidRPr="00C80BB4">
        <w:rPr>
          <w:sz w:val="22"/>
          <w:szCs w:val="22"/>
          <w:lang w:val="fi-FI"/>
        </w:rPr>
        <w:t>sta ma</w:t>
      </w:r>
      <w:r w:rsidRPr="00C80BB4">
        <w:rPr>
          <w:sz w:val="22"/>
          <w:szCs w:val="22"/>
          <w:lang w:val="fi-FI"/>
        </w:rPr>
        <w:t>i</w:t>
      </w:r>
      <w:r w:rsidR="008B7F89" w:rsidRPr="00C80BB4">
        <w:rPr>
          <w:sz w:val="22"/>
          <w:szCs w:val="22"/>
          <w:lang w:val="fi-FI"/>
        </w:rPr>
        <w:t>sta</w:t>
      </w:r>
      <w:r w:rsidRPr="00C80BB4">
        <w:rPr>
          <w:sz w:val="22"/>
          <w:szCs w:val="22"/>
          <w:lang w:val="fi-FI"/>
        </w:rPr>
        <w:t xml:space="preserve"> tieteen ja tutkimuksen avoimuudessa ja että avoimen tieteen mahdollisuudet hyödynnetään laajasti yhteiskunnassa. Tieteessä ja tutkimuksessa vuorovaikutusta edistetään monella eri tasolla, niin kansallisesti kuin kansainvälisesti. </w:t>
      </w:r>
    </w:p>
    <w:p w14:paraId="12ECD700" w14:textId="2DE5137C" w:rsidR="00AE0006" w:rsidRPr="00C80BB4" w:rsidRDefault="00AE0006" w:rsidP="00AE0006">
      <w:pPr>
        <w:jc w:val="both"/>
        <w:rPr>
          <w:strike/>
          <w:sz w:val="22"/>
          <w:szCs w:val="22"/>
          <w:lang w:val="fi-FI"/>
        </w:rPr>
      </w:pPr>
      <w:r w:rsidRPr="00C80BB4">
        <w:rPr>
          <w:sz w:val="22"/>
          <w:szCs w:val="22"/>
          <w:lang w:val="fi-FI"/>
        </w:rPr>
        <w:t>Edistettäviä käytäntöjä avoimen tieteen ja tutkimuksen saralla ovat muun muassa tutkimuksen tulosten avoimen saatavuuden ja hyödynnettävyyden edistäminen, avoimen lähdekoodin ja avoimien standardien hyödyntäminen, tutkimusprosessin laadukas dokumentointi sekä avoimuuteen liittyvän osaamisen kasvaminen. Vallitseva toimintakulttuuri vaikuttaa etenemiseen kohti tavoitetta.</w:t>
      </w:r>
    </w:p>
    <w:p w14:paraId="737373AB" w14:textId="416C760D" w:rsidR="00AE0006" w:rsidRPr="00C80BB4" w:rsidRDefault="00AE0006" w:rsidP="00C80BB4">
      <w:pPr>
        <w:jc w:val="both"/>
        <w:rPr>
          <w:sz w:val="22"/>
          <w:szCs w:val="22"/>
          <w:lang w:val="fi-FI"/>
        </w:rPr>
      </w:pPr>
      <w:r w:rsidRPr="00C80BB4">
        <w:rPr>
          <w:sz w:val="22"/>
          <w:szCs w:val="22"/>
          <w:lang w:val="fi-FI"/>
        </w:rPr>
        <w:t>Viisas avoimuus hyödyttä</w:t>
      </w:r>
      <w:r w:rsidR="00C80BB4">
        <w:rPr>
          <w:sz w:val="22"/>
          <w:szCs w:val="22"/>
          <w:lang w:val="fi-FI"/>
        </w:rPr>
        <w:t>ä tutkimusta monella tavoin, mm.</w:t>
      </w:r>
    </w:p>
    <w:p w14:paraId="2F2952B8"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a) Tutkimuksen tehokkuuden kasvu (jo tuotettuja aineistoja ja menetelmiä voidaan hyödyntää, prosessien täsmentyminen) </w:t>
      </w:r>
    </w:p>
    <w:p w14:paraId="5F573063"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b) Tieteellisen toimintamallin edistyminen (tietoisuus menetelmistä ja toimintatavoista kasvaa) </w:t>
      </w:r>
    </w:p>
    <w:p w14:paraId="2EE8341C"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c) Tutkimustulosten laadun paraneminen ja fokuksen selkeytyminen (tiedon vahvistaminen ja todentaminen nopeutuu) </w:t>
      </w:r>
    </w:p>
    <w:p w14:paraId="1D23F077"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d) Uusien tutkimusideoiden synnyn nopeutuminen (tutkimuksen tulokset helposti ja ajantasaisesti hyödynnettävissä) </w:t>
      </w:r>
    </w:p>
    <w:p w14:paraId="06CCB3FD"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e) Kansalaisten sitouttaminen tieteeseen ja tieteellisen lukutaidon kasvu (tulokset ja menetelmät avoimesti nähtävillä) </w:t>
      </w:r>
    </w:p>
    <w:p w14:paraId="7621B192" w14:textId="77777777" w:rsidR="00AE0006" w:rsidRPr="00C80BB4" w:rsidRDefault="00AE0006" w:rsidP="00AE0006">
      <w:pPr>
        <w:pStyle w:val="Default"/>
        <w:rPr>
          <w:rFonts w:asciiTheme="minorHAnsi" w:hAnsiTheme="minorHAnsi"/>
          <w:sz w:val="22"/>
          <w:szCs w:val="22"/>
        </w:rPr>
      </w:pPr>
      <w:r w:rsidRPr="00C80BB4">
        <w:rPr>
          <w:rFonts w:asciiTheme="minorHAnsi" w:hAnsiTheme="minorHAnsi"/>
          <w:sz w:val="22"/>
          <w:szCs w:val="22"/>
        </w:rPr>
        <w:t xml:space="preserve">f) Tutkimuksen taloudellisen ja sosiaalisen vaikuttavuuden kasvu (tutkimustulokset ja menetelmät saadaan nopeasti liike-elämän ja päätöksentekijöiden käyttöön) </w:t>
      </w:r>
    </w:p>
    <w:p w14:paraId="05A624E1" w14:textId="77777777" w:rsidR="00AE0006" w:rsidRPr="00C80BB4" w:rsidRDefault="00AE0006" w:rsidP="00AE0006">
      <w:pPr>
        <w:pStyle w:val="Default"/>
        <w:tabs>
          <w:tab w:val="left" w:pos="3015"/>
        </w:tabs>
        <w:rPr>
          <w:sz w:val="22"/>
          <w:szCs w:val="22"/>
        </w:rPr>
      </w:pPr>
      <w:r w:rsidRPr="00C80BB4">
        <w:rPr>
          <w:sz w:val="22"/>
          <w:szCs w:val="22"/>
        </w:rPr>
        <w:tab/>
      </w:r>
    </w:p>
    <w:p w14:paraId="51E18283" w14:textId="77777777" w:rsidR="00AE0006" w:rsidRPr="00C80BB4" w:rsidRDefault="00AE0006" w:rsidP="00AE0006">
      <w:pPr>
        <w:jc w:val="both"/>
        <w:rPr>
          <w:sz w:val="22"/>
          <w:szCs w:val="22"/>
          <w:lang w:val="fi-FI"/>
        </w:rPr>
      </w:pPr>
      <w:r w:rsidRPr="00C80BB4">
        <w:rPr>
          <w:sz w:val="22"/>
          <w:szCs w:val="22"/>
          <w:lang w:val="fi-FI"/>
        </w:rPr>
        <w:t xml:space="preserve">Viisas avoimuus on myös </w:t>
      </w:r>
      <w:proofErr w:type="spellStart"/>
      <w:r w:rsidRPr="00C80BB4">
        <w:rPr>
          <w:sz w:val="22"/>
          <w:szCs w:val="22"/>
          <w:lang w:val="fi-FI"/>
        </w:rPr>
        <w:t>yhteentoimivuutta</w:t>
      </w:r>
      <w:proofErr w:type="spellEnd"/>
      <w:r w:rsidRPr="00C80BB4">
        <w:rPr>
          <w:sz w:val="22"/>
          <w:szCs w:val="22"/>
          <w:lang w:val="fi-FI"/>
        </w:rPr>
        <w:t xml:space="preserve">, sitä että eri lähteistä tietoa voidaan yhdistellä ja verrata keskenään. Viisaan </w:t>
      </w:r>
      <w:proofErr w:type="spellStart"/>
      <w:r w:rsidRPr="00C80BB4">
        <w:rPr>
          <w:sz w:val="22"/>
          <w:szCs w:val="22"/>
          <w:lang w:val="fi-FI"/>
        </w:rPr>
        <w:t>yhteentoimivuuden</w:t>
      </w:r>
      <w:proofErr w:type="spellEnd"/>
      <w:r w:rsidRPr="00C80BB4">
        <w:rPr>
          <w:sz w:val="22"/>
          <w:szCs w:val="22"/>
          <w:lang w:val="fi-FI"/>
        </w:rPr>
        <w:t xml:space="preserve"> edistämisellä saadaan kansallista etua, mutta myös organisaatiokohtaista etua: aiemmin erillisiä tietolähteitä voidaan vertailla ja sitä kautta tutkimusorganisaatioiden on helpompi hallita omaa aineetonta pääomaansa. </w:t>
      </w:r>
    </w:p>
    <w:p w14:paraId="0BF03D40" w14:textId="77777777" w:rsidR="00AE0006" w:rsidRPr="00C80BB4" w:rsidRDefault="00AE0006" w:rsidP="00AE0006">
      <w:pPr>
        <w:jc w:val="both"/>
        <w:rPr>
          <w:sz w:val="22"/>
          <w:szCs w:val="22"/>
          <w:lang w:val="fi-FI"/>
        </w:rPr>
      </w:pPr>
      <w:r w:rsidRPr="00C80BB4">
        <w:rPr>
          <w:sz w:val="22"/>
          <w:szCs w:val="22"/>
          <w:lang w:val="fi-FI"/>
        </w:rPr>
        <w:t>Avoin tiede ja tutkimus edellyttävätkin avointa ja hyvää tutkimustiedon hallintatapaa. Tämä toteutuu, kun tutkimusjärjestelmän toimijat ovat motivoituneita ja koulutettuja sitä toteuttamaan. Avoimen ja hyvän tutkimuksen tuotosten hallintatavan on oltava jokaisen tutkimusjärjestelmän toimijan normaalia toimintaa. Ensimmäisenä käytännön edellytyksenä on, että toimijoilla on tarkoin jäsennetyt, ajan tasalla pysyvät kuvaukset siitä, miten toimia avoimen tieteen edistämiseksi.</w:t>
      </w:r>
    </w:p>
    <w:p w14:paraId="07C96F8E" w14:textId="77777777" w:rsidR="000B6255" w:rsidRDefault="000B6255" w:rsidP="006F75FF">
      <w:pPr>
        <w:rPr>
          <w:sz w:val="22"/>
          <w:szCs w:val="22"/>
          <w:lang w:val="fi-FI"/>
        </w:rPr>
      </w:pPr>
    </w:p>
    <w:p w14:paraId="732EAADB" w14:textId="7DFD3283" w:rsidR="00B02989" w:rsidRPr="00970B4B" w:rsidRDefault="006F75FF" w:rsidP="006F75FF">
      <w:pPr>
        <w:rPr>
          <w:sz w:val="22"/>
          <w:szCs w:val="22"/>
          <w:lang w:val="fi-FI"/>
        </w:rPr>
      </w:pPr>
      <w:r w:rsidRPr="00970B4B">
        <w:rPr>
          <w:sz w:val="22"/>
          <w:szCs w:val="22"/>
          <w:lang w:val="fi-FI"/>
        </w:rPr>
        <w:t xml:space="preserve">Toivomme teidän kuvaavan alla olevaan taulukkoon, miten organisaationne aikoo edistää omalta osaltaan avointa tiedettä ja tutkimusta. </w:t>
      </w:r>
      <w:r w:rsidR="00DE6082">
        <w:rPr>
          <w:sz w:val="22"/>
          <w:szCs w:val="22"/>
          <w:lang w:val="fi-FI"/>
        </w:rPr>
        <w:t xml:space="preserve">Vastauksen pohjaksi riittää </w:t>
      </w:r>
      <w:r w:rsidR="00DE6082">
        <w:rPr>
          <w:sz w:val="22"/>
          <w:lang w:val="fi-FI"/>
        </w:rPr>
        <w:t xml:space="preserve">asiantuntijoiden </w:t>
      </w:r>
      <w:r w:rsidR="00DE6082" w:rsidRPr="00DE6082">
        <w:rPr>
          <w:sz w:val="22"/>
          <w:lang w:val="fi-FI"/>
        </w:rPr>
        <w:t>tietämys asioista</w:t>
      </w:r>
      <w:r w:rsidR="00DE6082">
        <w:rPr>
          <w:sz w:val="22"/>
          <w:lang w:val="fi-FI"/>
        </w:rPr>
        <w:t xml:space="preserve">. </w:t>
      </w:r>
      <w:r w:rsidR="00DE6082" w:rsidRPr="00DE6082">
        <w:rPr>
          <w:sz w:val="24"/>
          <w:szCs w:val="22"/>
          <w:lang w:val="fi-FI"/>
        </w:rPr>
        <w:t xml:space="preserve"> </w:t>
      </w:r>
      <w:r w:rsidRPr="00970B4B">
        <w:rPr>
          <w:sz w:val="22"/>
          <w:szCs w:val="22"/>
          <w:lang w:val="fi-FI"/>
        </w:rPr>
        <w:t>Kirjatkaa vastuksenne sille varattuun osioon. Kertokaa myös arvio minä vuonna toimenpide toteutuu.</w:t>
      </w:r>
    </w:p>
    <w:p w14:paraId="605D9615" w14:textId="13C7BF4C" w:rsidR="006F75FF" w:rsidRDefault="006F75FF" w:rsidP="006F75FF">
      <w:pPr>
        <w:pStyle w:val="Heading3"/>
        <w:rPr>
          <w:sz w:val="22"/>
          <w:szCs w:val="22"/>
          <w:lang w:val="fi-FI"/>
        </w:rPr>
      </w:pPr>
      <w:r w:rsidRPr="00970B4B">
        <w:rPr>
          <w:sz w:val="22"/>
          <w:szCs w:val="22"/>
          <w:lang w:val="fi-FI"/>
        </w:rPr>
        <w:t xml:space="preserve">1: </w:t>
      </w:r>
      <w:r w:rsidR="007E4410">
        <w:rPr>
          <w:sz w:val="22"/>
          <w:szCs w:val="22"/>
          <w:lang w:val="fi-FI"/>
        </w:rPr>
        <w:t>STrateginen ohjaus ja avoimuuden periaatteet</w:t>
      </w:r>
    </w:p>
    <w:p w14:paraId="0FEAD2E4" w14:textId="24922A01" w:rsidR="00634A89" w:rsidRPr="00C80BB4" w:rsidRDefault="00C80BB4" w:rsidP="0072657A">
      <w:pPr>
        <w:jc w:val="both"/>
        <w:rPr>
          <w:i/>
          <w:color w:val="244061" w:themeColor="accent1" w:themeShade="80"/>
          <w:sz w:val="22"/>
          <w:lang w:val="fi-FI"/>
        </w:rPr>
      </w:pPr>
      <w:r w:rsidRPr="00C80BB4">
        <w:rPr>
          <w:i/>
          <w:lang w:val="fi-FI"/>
        </w:rPr>
        <w:t>Organisaation strategia ilmentää pitkän aikavälin tavoitetilaa sekä organisaation strategisia valintoja. Toimintakulttuurin avoimuuden tulisi siis tulla ilmi strategioissa. Strategian kautta organisaatio viestii paitsi omalle väelleen, myös muille tavoitteistaan avoimuuden suhteen toiminnassaan.</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86"/>
      </w:tblGrid>
      <w:tr w:rsidR="0007175F" w:rsidRPr="002F22BC" w14:paraId="03F5007B" w14:textId="77777777" w:rsidTr="00D45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bottom w:val="none" w:sz="0" w:space="0" w:color="auto"/>
            </w:tcBorders>
            <w:shd w:val="clear" w:color="auto" w:fill="B8CCE4" w:themeFill="accent1" w:themeFillTint="66"/>
          </w:tcPr>
          <w:p w14:paraId="01538DA8" w14:textId="2EBBF6EF" w:rsidR="0007175F" w:rsidRPr="008C4F1F" w:rsidRDefault="0099505F" w:rsidP="001E1578">
            <w:pPr>
              <w:pStyle w:val="ListParagraph"/>
              <w:spacing w:before="0" w:after="160" w:line="259" w:lineRule="auto"/>
              <w:ind w:left="0"/>
              <w:jc w:val="both"/>
              <w:rPr>
                <w:sz w:val="22"/>
                <w:szCs w:val="22"/>
                <w:lang w:val="fi-FI"/>
              </w:rPr>
            </w:pPr>
            <w:r>
              <w:rPr>
                <w:sz w:val="22"/>
                <w:szCs w:val="22"/>
                <w:lang w:val="fi-FI"/>
              </w:rPr>
              <w:t>Toimenpide</w:t>
            </w:r>
          </w:p>
        </w:tc>
        <w:tc>
          <w:tcPr>
            <w:tcW w:w="5686" w:type="dxa"/>
            <w:tcBorders>
              <w:bottom w:val="none" w:sz="0" w:space="0" w:color="auto"/>
            </w:tcBorders>
            <w:shd w:val="clear" w:color="auto" w:fill="B8CCE4" w:themeFill="accent1" w:themeFillTint="66"/>
          </w:tcPr>
          <w:p w14:paraId="7D6E1A54" w14:textId="0C742B64" w:rsidR="0007175F" w:rsidRPr="008C4F1F" w:rsidRDefault="0007175F"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Organisaatiomme toimenpide</w:t>
            </w:r>
            <w:r w:rsidR="0099505F">
              <w:rPr>
                <w:sz w:val="22"/>
                <w:szCs w:val="22"/>
                <w:lang w:val="fi-FI"/>
              </w:rPr>
              <w:t xml:space="preserve"> sekä vuosi jolloin toteutetaan</w:t>
            </w:r>
          </w:p>
        </w:tc>
      </w:tr>
      <w:tr w:rsidR="0007175F" w:rsidRPr="002F22BC" w14:paraId="0245CDF2" w14:textId="77777777" w:rsidTr="00D455B4">
        <w:tc>
          <w:tcPr>
            <w:cnfStyle w:val="001000000000" w:firstRow="0" w:lastRow="0" w:firstColumn="1" w:lastColumn="0" w:oddVBand="0" w:evenVBand="0" w:oddHBand="0" w:evenHBand="0" w:firstRowFirstColumn="0" w:firstRowLastColumn="0" w:lastRowFirstColumn="0" w:lastRowLastColumn="0"/>
            <w:tcW w:w="4957" w:type="dxa"/>
          </w:tcPr>
          <w:p w14:paraId="6920265A" w14:textId="20F204F9" w:rsidR="0007175F" w:rsidRPr="0099505F" w:rsidRDefault="006A280B" w:rsidP="007E4410">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007E4410" w:rsidRPr="00942359">
              <w:rPr>
                <w:sz w:val="22"/>
                <w:szCs w:val="22"/>
                <w:lang w:val="fi-FI"/>
              </w:rPr>
              <w:t>Avoimuuden huomioiminen strategioissa.</w:t>
            </w:r>
            <w:r w:rsidR="00942359">
              <w:rPr>
                <w:sz w:val="22"/>
                <w:szCs w:val="22"/>
                <w:lang w:val="fi-FI"/>
              </w:rPr>
              <w:t xml:space="preserve"> </w:t>
            </w:r>
            <w:r w:rsidR="00942359" w:rsidRPr="00942359">
              <w:rPr>
                <w:b w:val="0"/>
                <w:sz w:val="22"/>
                <w:szCs w:val="22"/>
                <w:lang w:val="fi-FI"/>
              </w:rPr>
              <w:t>Miten avoimuus näkyy strategioissa arvona tai periaatteena?</w:t>
            </w:r>
          </w:p>
        </w:tc>
        <w:tc>
          <w:tcPr>
            <w:tcW w:w="5686" w:type="dxa"/>
          </w:tcPr>
          <w:p w14:paraId="116C4954" w14:textId="77777777" w:rsidR="0007175F" w:rsidRPr="008C4F1F" w:rsidRDefault="0007175F"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07175F" w:rsidRPr="002F22BC" w14:paraId="406E6ABA" w14:textId="77777777" w:rsidTr="00D455B4">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tcPr>
          <w:p w14:paraId="27F5E5B5" w14:textId="7486C6CA" w:rsidR="0007175F" w:rsidRDefault="006A280B" w:rsidP="001E1578">
            <w:pPr>
              <w:pStyle w:val="ListParagraph"/>
              <w:spacing w:before="0" w:after="160" w:line="259" w:lineRule="auto"/>
              <w:ind w:left="0"/>
              <w:jc w:val="both"/>
              <w:rPr>
                <w:b w:val="0"/>
                <w:sz w:val="22"/>
                <w:szCs w:val="22"/>
                <w:lang w:val="fi-FI"/>
              </w:rPr>
            </w:pPr>
            <w:r w:rsidRPr="00AC0C2C">
              <w:rPr>
                <w:sz w:val="22"/>
                <w:szCs w:val="22"/>
                <w:lang w:val="fi-FI"/>
              </w:rPr>
              <w:t>1.2</w:t>
            </w:r>
            <w:r w:rsidRPr="0099505F">
              <w:rPr>
                <w:b w:val="0"/>
                <w:sz w:val="22"/>
                <w:szCs w:val="22"/>
                <w:lang w:val="fi-FI"/>
              </w:rPr>
              <w:t xml:space="preserve"> </w:t>
            </w:r>
            <w:r w:rsidR="007E4410" w:rsidRPr="00942359">
              <w:rPr>
                <w:sz w:val="22"/>
                <w:szCs w:val="22"/>
                <w:lang w:val="fi-FI"/>
              </w:rPr>
              <w:t>Tutkimustulosten hyödyntämisen edistäminen</w:t>
            </w:r>
            <w:r w:rsidR="007E4410">
              <w:rPr>
                <w:b w:val="0"/>
                <w:sz w:val="22"/>
                <w:szCs w:val="22"/>
                <w:lang w:val="fi-FI"/>
              </w:rPr>
              <w:t>.</w:t>
            </w:r>
            <w:r w:rsidR="00942359">
              <w:rPr>
                <w:b w:val="0"/>
                <w:sz w:val="22"/>
                <w:szCs w:val="22"/>
                <w:lang w:val="fi-FI"/>
              </w:rPr>
              <w:t xml:space="preserve">  Millaista avoimuutta näiden osalta edistetään, kannustetaan ja edellytetään?</w:t>
            </w:r>
          </w:p>
          <w:p w14:paraId="4AFA79C1" w14:textId="23823303" w:rsidR="0095123D" w:rsidRPr="0099505F" w:rsidRDefault="0095123D" w:rsidP="001E1578">
            <w:pPr>
              <w:pStyle w:val="ListParagraph"/>
              <w:spacing w:before="0" w:after="160" w:line="259" w:lineRule="auto"/>
              <w:ind w:left="0"/>
              <w:jc w:val="both"/>
              <w:rPr>
                <w:b w:val="0"/>
                <w:sz w:val="22"/>
                <w:szCs w:val="22"/>
                <w:lang w:val="fi-FI"/>
              </w:rPr>
            </w:pPr>
          </w:p>
        </w:tc>
        <w:tc>
          <w:tcPr>
            <w:tcW w:w="5686" w:type="dxa"/>
            <w:tcBorders>
              <w:bottom w:val="single" w:sz="4" w:space="0" w:color="auto"/>
            </w:tcBorders>
          </w:tcPr>
          <w:p w14:paraId="061DCDD7" w14:textId="335F4150" w:rsidR="0007175F" w:rsidRPr="008C4F1F" w:rsidRDefault="0007175F"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762B3" w:rsidRPr="002F22BC" w14:paraId="6683AC9D" w14:textId="77777777" w:rsidTr="00D455B4">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tcPr>
          <w:p w14:paraId="632AC4D9" w14:textId="34984182" w:rsidR="004762B3" w:rsidRPr="00AC0C2C" w:rsidRDefault="004762B3" w:rsidP="001E1578">
            <w:pPr>
              <w:pStyle w:val="ListParagraph"/>
              <w:spacing w:before="0" w:after="160" w:line="259" w:lineRule="auto"/>
              <w:ind w:left="0"/>
              <w:jc w:val="both"/>
              <w:rPr>
                <w:sz w:val="22"/>
                <w:szCs w:val="22"/>
                <w:lang w:val="fi-FI"/>
              </w:rPr>
            </w:pPr>
            <w:r>
              <w:rPr>
                <w:sz w:val="22"/>
                <w:szCs w:val="22"/>
                <w:lang w:val="fi-FI"/>
              </w:rPr>
              <w:t xml:space="preserve">1.3 </w:t>
            </w:r>
            <w:r w:rsidRPr="00942359">
              <w:rPr>
                <w:sz w:val="22"/>
                <w:szCs w:val="22"/>
                <w:lang w:val="fi-FI"/>
              </w:rPr>
              <w:t>Kansallisen ja kansainvälisen yhteistyön edistäminen.</w:t>
            </w:r>
          </w:p>
        </w:tc>
        <w:tc>
          <w:tcPr>
            <w:tcW w:w="5686" w:type="dxa"/>
            <w:tcBorders>
              <w:bottom w:val="single" w:sz="4" w:space="0" w:color="auto"/>
            </w:tcBorders>
          </w:tcPr>
          <w:p w14:paraId="7ACEB1B0" w14:textId="77777777" w:rsidR="004762B3" w:rsidRPr="008C4F1F" w:rsidRDefault="004762B3"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762B3" w:rsidRPr="002F22BC" w14:paraId="231377D8" w14:textId="77777777" w:rsidTr="00D455B4">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tcPr>
          <w:p w14:paraId="020A67FD" w14:textId="71852259" w:rsidR="004762B3" w:rsidRPr="00AC0C2C" w:rsidRDefault="004762B3" w:rsidP="001E1578">
            <w:pPr>
              <w:pStyle w:val="ListParagraph"/>
              <w:spacing w:before="0" w:after="160" w:line="259" w:lineRule="auto"/>
              <w:ind w:left="0"/>
              <w:jc w:val="both"/>
              <w:rPr>
                <w:sz w:val="22"/>
                <w:szCs w:val="22"/>
                <w:lang w:val="fi-FI"/>
              </w:rPr>
            </w:pPr>
            <w:r>
              <w:rPr>
                <w:sz w:val="22"/>
                <w:szCs w:val="22"/>
                <w:lang w:val="fi-FI"/>
              </w:rPr>
              <w:t xml:space="preserve">1.4 Tutkimusinfrastruktuurien </w:t>
            </w:r>
            <w:proofErr w:type="spellStart"/>
            <w:r>
              <w:rPr>
                <w:sz w:val="22"/>
                <w:szCs w:val="22"/>
                <w:lang w:val="fi-FI"/>
              </w:rPr>
              <w:t>yhteentoimivuus</w:t>
            </w:r>
            <w:proofErr w:type="spellEnd"/>
            <w:r>
              <w:rPr>
                <w:sz w:val="22"/>
                <w:szCs w:val="22"/>
                <w:lang w:val="fi-FI"/>
              </w:rPr>
              <w:t>.</w:t>
            </w:r>
            <w:r w:rsidR="00942359">
              <w:rPr>
                <w:sz w:val="22"/>
                <w:szCs w:val="22"/>
                <w:lang w:val="fi-FI"/>
              </w:rPr>
              <w:t xml:space="preserve"> </w:t>
            </w:r>
            <w:r w:rsidR="00942359" w:rsidRPr="00942359">
              <w:rPr>
                <w:b w:val="0"/>
                <w:sz w:val="22"/>
                <w:szCs w:val="22"/>
                <w:lang w:val="fi-FI"/>
              </w:rPr>
              <w:t>Miten yhteiskäyttöä edistetään ja kehitetään?</w:t>
            </w:r>
          </w:p>
        </w:tc>
        <w:tc>
          <w:tcPr>
            <w:tcW w:w="5686" w:type="dxa"/>
            <w:tcBorders>
              <w:bottom w:val="single" w:sz="4" w:space="0" w:color="auto"/>
            </w:tcBorders>
          </w:tcPr>
          <w:p w14:paraId="6444162C" w14:textId="77777777" w:rsidR="004762B3" w:rsidRPr="008C4F1F" w:rsidRDefault="004762B3"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762B3" w:rsidRPr="002F22BC" w14:paraId="424C1FA8" w14:textId="77777777" w:rsidTr="00D455B4">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auto"/>
            </w:tcBorders>
          </w:tcPr>
          <w:p w14:paraId="486B9DDD" w14:textId="0B0F68A6" w:rsidR="004762B3" w:rsidRPr="00AC0C2C" w:rsidRDefault="004762B3" w:rsidP="001E1578">
            <w:pPr>
              <w:pStyle w:val="ListParagraph"/>
              <w:spacing w:before="0" w:after="160" w:line="259" w:lineRule="auto"/>
              <w:ind w:left="0"/>
              <w:jc w:val="both"/>
              <w:rPr>
                <w:sz w:val="22"/>
                <w:szCs w:val="22"/>
                <w:lang w:val="fi-FI"/>
              </w:rPr>
            </w:pPr>
            <w:r>
              <w:rPr>
                <w:sz w:val="22"/>
                <w:szCs w:val="22"/>
                <w:lang w:val="fi-FI"/>
              </w:rPr>
              <w:t>1.5 Avoimuuteen liittyvän osaamisen vahvistaminen.</w:t>
            </w:r>
            <w:r w:rsidR="00942359">
              <w:rPr>
                <w:sz w:val="22"/>
                <w:szCs w:val="22"/>
                <w:lang w:val="fi-FI"/>
              </w:rPr>
              <w:t xml:space="preserve"> </w:t>
            </w:r>
            <w:r w:rsidR="00942359">
              <w:rPr>
                <w:b w:val="0"/>
                <w:sz w:val="22"/>
                <w:szCs w:val="22"/>
                <w:lang w:val="fi-FI"/>
              </w:rPr>
              <w:t>Miten osaamista kasvatetaan</w:t>
            </w:r>
            <w:r w:rsidR="00942359" w:rsidRPr="00942359">
              <w:rPr>
                <w:b w:val="0"/>
                <w:sz w:val="22"/>
                <w:szCs w:val="22"/>
                <w:lang w:val="fi-FI"/>
              </w:rPr>
              <w:t>?</w:t>
            </w:r>
          </w:p>
        </w:tc>
        <w:tc>
          <w:tcPr>
            <w:tcW w:w="5686" w:type="dxa"/>
            <w:tcBorders>
              <w:bottom w:val="single" w:sz="4" w:space="0" w:color="auto"/>
            </w:tcBorders>
          </w:tcPr>
          <w:p w14:paraId="6394108F" w14:textId="77777777" w:rsidR="004762B3" w:rsidRPr="008C4F1F" w:rsidRDefault="004762B3"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09E4F8F" w14:textId="77777777" w:rsidR="00EC6054" w:rsidRPr="00970B4B" w:rsidRDefault="00EC6054" w:rsidP="00EC6054">
      <w:pPr>
        <w:pStyle w:val="ListParagraph"/>
        <w:rPr>
          <w:b/>
          <w:sz w:val="22"/>
          <w:szCs w:val="22"/>
          <w:lang w:val="fi-FI"/>
        </w:rPr>
      </w:pPr>
    </w:p>
    <w:p w14:paraId="745EEA00" w14:textId="5A65939C" w:rsidR="004A3CF1" w:rsidRPr="00970B4B" w:rsidRDefault="00AE0006" w:rsidP="00FE395C">
      <w:pPr>
        <w:pStyle w:val="Heading3"/>
        <w:pBdr>
          <w:top w:val="single" w:sz="6" w:space="0" w:color="4F81BD" w:themeColor="accent1"/>
        </w:pBdr>
        <w:rPr>
          <w:sz w:val="22"/>
          <w:szCs w:val="22"/>
          <w:lang w:val="fi-FI"/>
        </w:rPr>
      </w:pPr>
      <w:r>
        <w:rPr>
          <w:sz w:val="22"/>
          <w:szCs w:val="22"/>
          <w:lang w:val="fi-FI"/>
        </w:rPr>
        <w:t>2: AVOIMUUDEN HUOMIOIMINEN RAHOITUSHAUISSA</w:t>
      </w:r>
    </w:p>
    <w:p w14:paraId="78440605" w14:textId="1A262E09" w:rsidR="004A3CF1" w:rsidRPr="001870B6" w:rsidRDefault="008F1438" w:rsidP="004A3CF1">
      <w:pPr>
        <w:rPr>
          <w:i/>
          <w:color w:val="244061" w:themeColor="accent1" w:themeShade="80"/>
          <w:sz w:val="22"/>
          <w:szCs w:val="22"/>
          <w:lang w:val="fi-FI"/>
        </w:rPr>
      </w:pPr>
      <w:r w:rsidRPr="008F1438">
        <w:rPr>
          <w:i/>
          <w:color w:val="244061" w:themeColor="accent1" w:themeShade="80"/>
          <w:sz w:val="22"/>
          <w:szCs w:val="22"/>
          <w:lang w:val="fi-FI"/>
        </w:rPr>
        <w:t>Tutkimusrahoittaja voi linjaamalla avoimen tieteen periaatteita kertoa rahoitusta hakeville tahoille kannustavansa ja edistävänsä avointa tiedettä. Näin tutkimusrahoittaja pystyy omalta osaltaan edesauttamaan avointa toimintakulttuuria tieteellisen tutkimuksen piirissä sekä auttamaan tutkijoita omaksumaan avoimen tieteen toimintamalleja.</w:t>
      </w:r>
      <w:r w:rsidR="00DA2246" w:rsidRPr="001870B6">
        <w:rPr>
          <w:i/>
          <w:color w:val="244061" w:themeColor="accent1" w:themeShade="80"/>
          <w:sz w:val="22"/>
          <w:szCs w:val="22"/>
          <w:lang w:val="fi-FI"/>
        </w:rPr>
        <w:t>.</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529"/>
      </w:tblGrid>
      <w:tr w:rsidR="004A3CF1" w:rsidRPr="002F22BC" w14:paraId="16D9949D" w14:textId="77777777" w:rsidTr="00D45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bottom w:val="none" w:sz="0" w:space="0" w:color="auto"/>
            </w:tcBorders>
            <w:shd w:val="clear" w:color="auto" w:fill="B8CCE4" w:themeFill="accent1" w:themeFillTint="66"/>
          </w:tcPr>
          <w:p w14:paraId="64A7F01D" w14:textId="1F7D4175" w:rsidR="004A3CF1" w:rsidRPr="008C4F1F" w:rsidRDefault="00F0761F" w:rsidP="001E1578">
            <w:pPr>
              <w:pStyle w:val="ListParagraph"/>
              <w:spacing w:before="0" w:after="160" w:line="259" w:lineRule="auto"/>
              <w:ind w:left="0"/>
              <w:jc w:val="both"/>
              <w:rPr>
                <w:sz w:val="22"/>
                <w:szCs w:val="22"/>
                <w:lang w:val="fi-FI"/>
              </w:rPr>
            </w:pPr>
            <w:r>
              <w:rPr>
                <w:sz w:val="22"/>
                <w:szCs w:val="22"/>
                <w:lang w:val="fi-FI"/>
              </w:rPr>
              <w:t>Toimenpide</w:t>
            </w:r>
          </w:p>
        </w:tc>
        <w:tc>
          <w:tcPr>
            <w:tcW w:w="5529" w:type="dxa"/>
            <w:tcBorders>
              <w:bottom w:val="none" w:sz="0" w:space="0" w:color="auto"/>
            </w:tcBorders>
            <w:shd w:val="clear" w:color="auto" w:fill="B8CCE4" w:themeFill="accent1" w:themeFillTint="66"/>
          </w:tcPr>
          <w:p w14:paraId="19B383F2" w14:textId="437581ED" w:rsidR="004A3CF1" w:rsidRPr="008C4F1F" w:rsidRDefault="00814179"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r w:rsidR="00F0761F">
              <w:rPr>
                <w:sz w:val="22"/>
                <w:szCs w:val="22"/>
                <w:lang w:val="fi-FI"/>
              </w:rPr>
              <w:t xml:space="preserve"> sekä vuosi jolloin toteutetaan</w:t>
            </w:r>
          </w:p>
        </w:tc>
      </w:tr>
      <w:tr w:rsidR="004A3CF1" w:rsidRPr="00B457DF" w14:paraId="5DD52462" w14:textId="77777777" w:rsidTr="00D455B4">
        <w:tc>
          <w:tcPr>
            <w:cnfStyle w:val="001000000000" w:firstRow="0" w:lastRow="0" w:firstColumn="1" w:lastColumn="0" w:oddVBand="0" w:evenVBand="0" w:oddHBand="0" w:evenHBand="0" w:firstRowFirstColumn="0" w:firstRowLastColumn="0" w:lastRowFirstColumn="0" w:lastRowLastColumn="0"/>
            <w:tcW w:w="5098" w:type="dxa"/>
          </w:tcPr>
          <w:p w14:paraId="3426F944" w14:textId="1224EFDA" w:rsidR="004A3CF1" w:rsidRPr="008C4F1F" w:rsidRDefault="002A51A8" w:rsidP="001E1578">
            <w:pPr>
              <w:pStyle w:val="ListParagraph"/>
              <w:spacing w:before="0" w:after="160" w:line="259" w:lineRule="auto"/>
              <w:ind w:left="0"/>
              <w:jc w:val="both"/>
              <w:rPr>
                <w:sz w:val="22"/>
                <w:szCs w:val="22"/>
                <w:lang w:val="fi-FI"/>
              </w:rPr>
            </w:pPr>
            <w:r>
              <w:rPr>
                <w:sz w:val="22"/>
                <w:szCs w:val="22"/>
                <w:lang w:val="fi-FI"/>
              </w:rPr>
              <w:t xml:space="preserve">2.1 </w:t>
            </w:r>
            <w:r w:rsidR="00AE0006" w:rsidRPr="00F43EAF">
              <w:rPr>
                <w:sz w:val="22"/>
                <w:szCs w:val="22"/>
                <w:lang w:val="fi-FI"/>
              </w:rPr>
              <w:t>Linjaukset tutkimusjulkaisujen avoimuudelle.</w:t>
            </w:r>
          </w:p>
        </w:tc>
        <w:tc>
          <w:tcPr>
            <w:tcW w:w="5529" w:type="dxa"/>
          </w:tcPr>
          <w:p w14:paraId="56358250" w14:textId="4A58BB3F"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A3CF1" w:rsidRPr="00B457DF" w14:paraId="3C717CD5" w14:textId="77777777" w:rsidTr="00D455B4">
        <w:tc>
          <w:tcPr>
            <w:cnfStyle w:val="001000000000" w:firstRow="0" w:lastRow="0" w:firstColumn="1" w:lastColumn="0" w:oddVBand="0" w:evenVBand="0" w:oddHBand="0" w:evenHBand="0" w:firstRowFirstColumn="0" w:firstRowLastColumn="0" w:lastRowFirstColumn="0" w:lastRowLastColumn="0"/>
            <w:tcW w:w="5098" w:type="dxa"/>
          </w:tcPr>
          <w:p w14:paraId="54E19DF7" w14:textId="0CE63471" w:rsidR="004A3CF1" w:rsidRPr="008C4F1F" w:rsidRDefault="002A51A8" w:rsidP="00AE0006">
            <w:pPr>
              <w:pStyle w:val="ListParagraph"/>
              <w:spacing w:before="0" w:after="160" w:line="259" w:lineRule="auto"/>
              <w:ind w:left="0"/>
              <w:jc w:val="both"/>
              <w:rPr>
                <w:sz w:val="22"/>
                <w:szCs w:val="22"/>
                <w:highlight w:val="cyan"/>
                <w:lang w:val="fi-FI"/>
              </w:rPr>
            </w:pPr>
            <w:r>
              <w:rPr>
                <w:sz w:val="22"/>
                <w:szCs w:val="22"/>
                <w:lang w:val="fi-FI"/>
              </w:rPr>
              <w:t>2.</w:t>
            </w:r>
            <w:r w:rsidRPr="00656939">
              <w:rPr>
                <w:sz w:val="22"/>
                <w:szCs w:val="22"/>
                <w:lang w:val="fi-FI"/>
              </w:rPr>
              <w:t xml:space="preserve">2 </w:t>
            </w:r>
            <w:r w:rsidR="00AE0006" w:rsidRPr="00656939">
              <w:rPr>
                <w:sz w:val="22"/>
                <w:szCs w:val="22"/>
                <w:lang w:val="fi-FI"/>
              </w:rPr>
              <w:t>Linjaukset tutkimusaineistojen avoimuudelle</w:t>
            </w:r>
            <w:r w:rsidR="00AE0006" w:rsidRPr="00F43EAF">
              <w:rPr>
                <w:b w:val="0"/>
                <w:sz w:val="22"/>
                <w:szCs w:val="22"/>
                <w:lang w:val="fi-FI"/>
              </w:rPr>
              <w:t>.</w:t>
            </w:r>
          </w:p>
        </w:tc>
        <w:tc>
          <w:tcPr>
            <w:tcW w:w="5529" w:type="dxa"/>
          </w:tcPr>
          <w:p w14:paraId="6E75E8D1" w14:textId="2722AFD0" w:rsidR="004A3CF1" w:rsidRPr="008C4F1F" w:rsidRDefault="004A3CF1"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4A3CF1" w:rsidRPr="00B457DF" w14:paraId="507386F6" w14:textId="77777777" w:rsidTr="00D455B4">
        <w:tc>
          <w:tcPr>
            <w:cnfStyle w:val="001000000000" w:firstRow="0" w:lastRow="0" w:firstColumn="1" w:lastColumn="0" w:oddVBand="0" w:evenVBand="0" w:oddHBand="0" w:evenHBand="0" w:firstRowFirstColumn="0" w:firstRowLastColumn="0" w:lastRowFirstColumn="0" w:lastRowLastColumn="0"/>
            <w:tcW w:w="5098" w:type="dxa"/>
          </w:tcPr>
          <w:p w14:paraId="68CEC839" w14:textId="3E9D5D7D" w:rsidR="004A3CF1" w:rsidRPr="008C4F1F" w:rsidRDefault="002A51A8" w:rsidP="00AE0006">
            <w:pPr>
              <w:pStyle w:val="ListParagraph"/>
              <w:spacing w:before="0" w:after="160" w:line="259" w:lineRule="auto"/>
              <w:ind w:left="0"/>
              <w:jc w:val="both"/>
              <w:rPr>
                <w:sz w:val="22"/>
                <w:szCs w:val="22"/>
                <w:lang w:val="fi-FI"/>
              </w:rPr>
            </w:pPr>
            <w:r>
              <w:rPr>
                <w:sz w:val="22"/>
                <w:szCs w:val="22"/>
                <w:lang w:val="fi-FI"/>
              </w:rPr>
              <w:t xml:space="preserve">2.3 </w:t>
            </w:r>
            <w:r w:rsidR="00AE0006" w:rsidRPr="00F43EAF">
              <w:rPr>
                <w:sz w:val="22"/>
                <w:szCs w:val="22"/>
                <w:lang w:val="fi-FI"/>
              </w:rPr>
              <w:t>Linjaukset tutkimusmenetelmien avoimuudelle</w:t>
            </w:r>
            <w:r w:rsidR="00AE0006">
              <w:rPr>
                <w:b w:val="0"/>
                <w:sz w:val="22"/>
                <w:szCs w:val="22"/>
                <w:lang w:val="fi-FI"/>
              </w:rPr>
              <w:t>.</w:t>
            </w:r>
          </w:p>
        </w:tc>
        <w:tc>
          <w:tcPr>
            <w:tcW w:w="5529" w:type="dxa"/>
          </w:tcPr>
          <w:p w14:paraId="5FE43288" w14:textId="78BF9600" w:rsidR="004A3CF1" w:rsidRPr="008C4F1F" w:rsidRDefault="004A3CF1"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AE0006" w:rsidRPr="00B457DF" w14:paraId="2B287E57" w14:textId="77777777" w:rsidTr="00D455B4">
        <w:tc>
          <w:tcPr>
            <w:cnfStyle w:val="001000000000" w:firstRow="0" w:lastRow="0" w:firstColumn="1" w:lastColumn="0" w:oddVBand="0" w:evenVBand="0" w:oddHBand="0" w:evenHBand="0" w:firstRowFirstColumn="0" w:firstRowLastColumn="0" w:lastRowFirstColumn="0" w:lastRowLastColumn="0"/>
            <w:tcW w:w="5098" w:type="dxa"/>
          </w:tcPr>
          <w:p w14:paraId="1D96954F" w14:textId="100925A4" w:rsidR="00AE0006" w:rsidRDefault="00AE0006" w:rsidP="00AE0006">
            <w:pPr>
              <w:pStyle w:val="ListParagraph"/>
              <w:spacing w:before="0" w:after="160" w:line="259" w:lineRule="auto"/>
              <w:ind w:left="0"/>
              <w:jc w:val="both"/>
              <w:rPr>
                <w:sz w:val="22"/>
                <w:szCs w:val="22"/>
                <w:lang w:val="fi-FI"/>
              </w:rPr>
            </w:pPr>
            <w:r>
              <w:rPr>
                <w:sz w:val="22"/>
                <w:szCs w:val="22"/>
                <w:lang w:val="fi-FI"/>
              </w:rPr>
              <w:t xml:space="preserve">2.4. </w:t>
            </w:r>
            <w:proofErr w:type="gramStart"/>
            <w:r>
              <w:rPr>
                <w:sz w:val="22"/>
                <w:szCs w:val="22"/>
                <w:lang w:val="fi-FI"/>
              </w:rPr>
              <w:t>Tutkimusinfrastruktuurien avoimet käyttöpolitiikat.</w:t>
            </w:r>
            <w:proofErr w:type="gramEnd"/>
          </w:p>
        </w:tc>
        <w:tc>
          <w:tcPr>
            <w:tcW w:w="5529" w:type="dxa"/>
          </w:tcPr>
          <w:p w14:paraId="34EAB4D7" w14:textId="77777777" w:rsidR="00AE0006" w:rsidRPr="008C4F1F" w:rsidRDefault="00AE0006"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5853CD9C" w:rsidR="00C75453" w:rsidRDefault="006155AC" w:rsidP="00C75453">
      <w:pPr>
        <w:pStyle w:val="Heading3"/>
        <w:rPr>
          <w:sz w:val="22"/>
          <w:szCs w:val="22"/>
          <w:lang w:val="fi-FI"/>
        </w:rPr>
      </w:pPr>
      <w:r>
        <w:rPr>
          <w:sz w:val="22"/>
          <w:szCs w:val="22"/>
          <w:lang w:val="fi-FI"/>
        </w:rPr>
        <w:t>3: AVOIMUUDEN TUKEMINEN JA EDISTÄMINEN</w:t>
      </w:r>
    </w:p>
    <w:p w14:paraId="45F6EDDC" w14:textId="1615D0FF" w:rsidR="00CC11D8" w:rsidRPr="00CC11D8" w:rsidRDefault="006155AC" w:rsidP="00CC11D8">
      <w:pPr>
        <w:rPr>
          <w:i/>
          <w:color w:val="244061" w:themeColor="accent1" w:themeShade="80"/>
          <w:sz w:val="22"/>
          <w:lang w:val="fi-FI"/>
        </w:rPr>
      </w:pPr>
      <w:r w:rsidRPr="006155AC">
        <w:rPr>
          <w:i/>
          <w:color w:val="244061" w:themeColor="accent1" w:themeShade="80"/>
          <w:sz w:val="22"/>
          <w:lang w:val="fi-FI"/>
        </w:rPr>
        <w:lastRenderedPageBreak/>
        <w:t xml:space="preserve">Tutkimusrahoittajat voivat tukea avoimuuden edistämistä tutkimusrahoituksen lisäksi myös muilla keinoin. Näitä ovat esimerkiksi konkreettiset toimet avoimuuden edistämiseen ohjeistuksessa rahoitusta hakeville tahoille ja avoimen tieteen hyötyjen esittely. Avoimesti rahoitustoiminnastaan ja rahoitusarviointien perusteista kertomalla tutkimusrahoittaja viestii kannattavansa avoimia toimintamalleja.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521"/>
      </w:tblGrid>
      <w:tr w:rsidR="00253DDC" w:rsidRPr="008C4F1F" w14:paraId="53A3CD0C" w14:textId="77777777" w:rsidTr="00860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Borders>
              <w:bottom w:val="none" w:sz="0" w:space="0" w:color="auto"/>
            </w:tcBorders>
            <w:shd w:val="clear" w:color="auto" w:fill="B8CCE4" w:themeFill="accent1" w:themeFillTint="66"/>
          </w:tcPr>
          <w:p w14:paraId="74DC311A" w14:textId="77777777" w:rsidR="00253DDC" w:rsidRPr="008C4F1F" w:rsidRDefault="00253DDC" w:rsidP="001E1578">
            <w:pPr>
              <w:pStyle w:val="ListParagraph"/>
              <w:spacing w:before="0" w:after="160" w:line="259" w:lineRule="auto"/>
              <w:ind w:left="0"/>
              <w:jc w:val="both"/>
              <w:rPr>
                <w:sz w:val="22"/>
                <w:szCs w:val="22"/>
                <w:lang w:val="fi-FI"/>
              </w:rPr>
            </w:pPr>
            <w:r w:rsidRPr="008C4F1F">
              <w:rPr>
                <w:sz w:val="22"/>
                <w:szCs w:val="22"/>
                <w:lang w:val="fi-FI"/>
              </w:rPr>
              <w:t>Toimenpiteet</w:t>
            </w:r>
          </w:p>
        </w:tc>
        <w:tc>
          <w:tcPr>
            <w:tcW w:w="6521" w:type="dxa"/>
            <w:tcBorders>
              <w:bottom w:val="none" w:sz="0" w:space="0" w:color="auto"/>
            </w:tcBorders>
            <w:shd w:val="clear" w:color="auto" w:fill="B8CCE4" w:themeFill="accent1" w:themeFillTint="66"/>
          </w:tcPr>
          <w:p w14:paraId="3E54BB57" w14:textId="77777777" w:rsidR="00253DDC" w:rsidRPr="008C4F1F" w:rsidRDefault="00253DDC"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sidRPr="008C4F1F">
              <w:rPr>
                <w:sz w:val="22"/>
                <w:szCs w:val="22"/>
                <w:lang w:val="fi-FI"/>
              </w:rPr>
              <w:t>Organisaationne toimenpide</w:t>
            </w:r>
          </w:p>
        </w:tc>
      </w:tr>
      <w:tr w:rsidR="00253DDC" w:rsidRPr="002F22BC" w14:paraId="5348D93A"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4DFE3A66" w14:textId="1A5C58F7" w:rsidR="00253DDC" w:rsidRPr="008C4F1F" w:rsidRDefault="002A51A8" w:rsidP="00ED3D48">
            <w:pPr>
              <w:pStyle w:val="ListParagraph"/>
              <w:spacing w:before="0" w:after="160" w:line="259" w:lineRule="auto"/>
              <w:ind w:left="0"/>
              <w:jc w:val="both"/>
              <w:rPr>
                <w:sz w:val="22"/>
                <w:szCs w:val="22"/>
                <w:lang w:val="fi-FI"/>
              </w:rPr>
            </w:pPr>
            <w:r>
              <w:rPr>
                <w:sz w:val="22"/>
                <w:szCs w:val="22"/>
                <w:lang w:val="fi-FI"/>
              </w:rPr>
              <w:t xml:space="preserve">3.1 </w:t>
            </w:r>
            <w:r w:rsidR="00ED3D48" w:rsidRPr="00EF7925">
              <w:rPr>
                <w:sz w:val="22"/>
                <w:szCs w:val="22"/>
                <w:lang w:val="fi-FI"/>
              </w:rPr>
              <w:t>Avoimen tieteen ja tutkimuksen ohjeistus</w:t>
            </w:r>
            <w:r w:rsidR="00ED3D48">
              <w:rPr>
                <w:b w:val="0"/>
                <w:sz w:val="22"/>
                <w:szCs w:val="22"/>
                <w:lang w:val="fi-FI"/>
              </w:rPr>
              <w:t>.</w:t>
            </w:r>
            <w:r w:rsidR="00656939">
              <w:rPr>
                <w:b w:val="0"/>
                <w:sz w:val="22"/>
                <w:szCs w:val="22"/>
                <w:lang w:val="fi-FI"/>
              </w:rPr>
              <w:t xml:space="preserve"> Miten tarjoatte ohjeita avoimen tieteen ja tutkimuksen toimintamalleista?</w:t>
            </w:r>
          </w:p>
        </w:tc>
        <w:tc>
          <w:tcPr>
            <w:tcW w:w="6521" w:type="dxa"/>
          </w:tcPr>
          <w:p w14:paraId="2D132A41" w14:textId="685C66DD"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2F22BC" w14:paraId="01332A43"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2CC26934" w14:textId="63CDA9F6" w:rsidR="00253DDC" w:rsidRPr="008C4F1F" w:rsidRDefault="002A51A8" w:rsidP="00ED3D48">
            <w:pPr>
              <w:pStyle w:val="ListParagraph"/>
              <w:spacing w:before="0" w:after="160" w:line="259" w:lineRule="auto"/>
              <w:ind w:left="0"/>
              <w:jc w:val="both"/>
              <w:rPr>
                <w:sz w:val="22"/>
                <w:szCs w:val="22"/>
                <w:lang w:val="fi-FI"/>
              </w:rPr>
            </w:pPr>
            <w:r>
              <w:rPr>
                <w:sz w:val="22"/>
                <w:szCs w:val="22"/>
                <w:lang w:val="fi-FI"/>
              </w:rPr>
              <w:t xml:space="preserve">3.2 </w:t>
            </w:r>
            <w:r w:rsidR="00ED3D48" w:rsidRPr="00EF7925">
              <w:rPr>
                <w:sz w:val="22"/>
                <w:szCs w:val="22"/>
                <w:lang w:val="fi-FI"/>
              </w:rPr>
              <w:t>Avoimien julkaisukanavien suosittelu</w:t>
            </w:r>
            <w:r w:rsidR="00ED3D48">
              <w:rPr>
                <w:b w:val="0"/>
                <w:sz w:val="22"/>
                <w:szCs w:val="22"/>
                <w:lang w:val="fi-FI"/>
              </w:rPr>
              <w:t>.</w:t>
            </w:r>
            <w:r w:rsidR="00656939">
              <w:rPr>
                <w:b w:val="0"/>
                <w:sz w:val="22"/>
                <w:szCs w:val="22"/>
                <w:lang w:val="fi-FI"/>
              </w:rPr>
              <w:t xml:space="preserve"> Miten suosittelette julkaisukanavien valinnassa?</w:t>
            </w:r>
          </w:p>
        </w:tc>
        <w:tc>
          <w:tcPr>
            <w:tcW w:w="6521" w:type="dxa"/>
          </w:tcPr>
          <w:p w14:paraId="394AAF48" w14:textId="3BE313C3"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56939" w:rsidRPr="002F22BC" w14:paraId="2423897B"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05E3C824" w14:textId="7E2247A5" w:rsidR="00656939" w:rsidRDefault="00656939" w:rsidP="00ED3D48">
            <w:pPr>
              <w:pStyle w:val="ListParagraph"/>
              <w:spacing w:before="0" w:after="160" w:line="259" w:lineRule="auto"/>
              <w:ind w:left="0"/>
              <w:jc w:val="both"/>
              <w:rPr>
                <w:sz w:val="22"/>
                <w:szCs w:val="22"/>
                <w:lang w:val="fi-FI"/>
              </w:rPr>
            </w:pPr>
            <w:r>
              <w:rPr>
                <w:sz w:val="22"/>
                <w:szCs w:val="22"/>
                <w:lang w:val="fi-FI"/>
              </w:rPr>
              <w:t xml:space="preserve">3.4 </w:t>
            </w:r>
            <w:r w:rsidRPr="00EF7925">
              <w:rPr>
                <w:sz w:val="22"/>
                <w:szCs w:val="22"/>
                <w:lang w:val="fi-FI"/>
              </w:rPr>
              <w:t>Avoimen arvioinnin kehittäminen</w:t>
            </w:r>
            <w:r>
              <w:rPr>
                <w:b w:val="0"/>
                <w:sz w:val="22"/>
                <w:szCs w:val="22"/>
                <w:lang w:val="fi-FI"/>
              </w:rPr>
              <w:t>. Miten huomioitte avoimuuden arvioinneissa?</w:t>
            </w:r>
          </w:p>
        </w:tc>
        <w:tc>
          <w:tcPr>
            <w:tcW w:w="6521" w:type="dxa"/>
          </w:tcPr>
          <w:p w14:paraId="0E81C9B3" w14:textId="77777777" w:rsidR="00656939" w:rsidRPr="008C4F1F" w:rsidRDefault="006569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C97D6E" w:rsidRPr="002F22BC" w14:paraId="792D529B"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5D64BE1E" w14:textId="600E4154" w:rsidR="00C97D6E" w:rsidRPr="008C4F1F" w:rsidRDefault="00D65AA8" w:rsidP="00674793">
            <w:pPr>
              <w:pStyle w:val="ListParagraph"/>
              <w:spacing w:before="0" w:after="160" w:line="259" w:lineRule="auto"/>
              <w:ind w:left="0"/>
              <w:jc w:val="both"/>
              <w:rPr>
                <w:sz w:val="22"/>
                <w:szCs w:val="22"/>
                <w:lang w:val="fi-FI"/>
              </w:rPr>
            </w:pPr>
            <w:r>
              <w:rPr>
                <w:sz w:val="22"/>
                <w:szCs w:val="22"/>
                <w:lang w:val="fi-FI"/>
              </w:rPr>
              <w:t>3.5</w:t>
            </w:r>
            <w:r w:rsidR="002A51A8">
              <w:rPr>
                <w:sz w:val="22"/>
                <w:szCs w:val="22"/>
                <w:lang w:val="fi-FI"/>
              </w:rPr>
              <w:t xml:space="preserve"> </w:t>
            </w:r>
            <w:r w:rsidR="00674793" w:rsidRPr="00EF7925">
              <w:rPr>
                <w:sz w:val="22"/>
                <w:szCs w:val="22"/>
                <w:lang w:val="fi-FI"/>
              </w:rPr>
              <w:t>Avoimuuden seuranta</w:t>
            </w:r>
            <w:r w:rsidR="00674793">
              <w:rPr>
                <w:b w:val="0"/>
                <w:sz w:val="22"/>
                <w:szCs w:val="22"/>
                <w:lang w:val="fi-FI"/>
              </w:rPr>
              <w:t>.</w:t>
            </w:r>
            <w:r w:rsidR="00656939">
              <w:rPr>
                <w:b w:val="0"/>
                <w:sz w:val="22"/>
                <w:szCs w:val="22"/>
                <w:lang w:val="fi-FI"/>
              </w:rPr>
              <w:t xml:space="preserve"> Miten seuraatte avoimuuden toteutumista rahoittamissanne hankkeissa?</w:t>
            </w:r>
          </w:p>
        </w:tc>
        <w:tc>
          <w:tcPr>
            <w:tcW w:w="6521" w:type="dxa"/>
          </w:tcPr>
          <w:p w14:paraId="7CDE59F0" w14:textId="667C4BFA" w:rsidR="00C97D6E" w:rsidRPr="008C4F1F" w:rsidRDefault="00C97D6E"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53DDC" w:rsidRPr="002F22BC" w14:paraId="2C778E09" w14:textId="77777777" w:rsidTr="00860B61">
        <w:tc>
          <w:tcPr>
            <w:cnfStyle w:val="001000000000" w:firstRow="0" w:lastRow="0" w:firstColumn="1" w:lastColumn="0" w:oddVBand="0" w:evenVBand="0" w:oddHBand="0" w:evenHBand="0" w:firstRowFirstColumn="0" w:firstRowLastColumn="0" w:lastRowFirstColumn="0" w:lastRowLastColumn="0"/>
            <w:tcW w:w="4106" w:type="dxa"/>
          </w:tcPr>
          <w:p w14:paraId="5AC6FF6A" w14:textId="57AD8D79" w:rsidR="00253DDC" w:rsidRPr="008C4F1F" w:rsidRDefault="00D65AA8" w:rsidP="00674793">
            <w:pPr>
              <w:pStyle w:val="ListParagraph"/>
              <w:spacing w:before="0" w:after="160" w:line="259" w:lineRule="auto"/>
              <w:ind w:left="0"/>
              <w:jc w:val="both"/>
              <w:rPr>
                <w:sz w:val="22"/>
                <w:szCs w:val="22"/>
                <w:lang w:val="fi-FI"/>
              </w:rPr>
            </w:pPr>
            <w:r>
              <w:rPr>
                <w:sz w:val="22"/>
                <w:szCs w:val="22"/>
                <w:lang w:val="fi-FI"/>
              </w:rPr>
              <w:t>3.6</w:t>
            </w:r>
            <w:r w:rsidR="002A51A8">
              <w:rPr>
                <w:sz w:val="22"/>
                <w:szCs w:val="22"/>
                <w:lang w:val="fi-FI"/>
              </w:rPr>
              <w:t xml:space="preserve"> </w:t>
            </w:r>
            <w:r w:rsidR="00674793" w:rsidRPr="00EF7925">
              <w:rPr>
                <w:sz w:val="22"/>
                <w:szCs w:val="22"/>
                <w:lang w:val="fi-FI"/>
              </w:rPr>
              <w:t>Omien tietovarantojen avaaminen</w:t>
            </w:r>
            <w:r w:rsidR="00674793">
              <w:rPr>
                <w:b w:val="0"/>
                <w:sz w:val="22"/>
                <w:szCs w:val="22"/>
                <w:lang w:val="fi-FI"/>
              </w:rPr>
              <w:t>.</w:t>
            </w:r>
            <w:r w:rsidR="00656939">
              <w:rPr>
                <w:b w:val="0"/>
                <w:sz w:val="22"/>
                <w:szCs w:val="22"/>
                <w:lang w:val="fi-FI"/>
              </w:rPr>
              <w:t xml:space="preserve"> Miten edistätte omien tietovarantojenne avoimuutta?</w:t>
            </w:r>
          </w:p>
        </w:tc>
        <w:tc>
          <w:tcPr>
            <w:tcW w:w="6521" w:type="dxa"/>
          </w:tcPr>
          <w:p w14:paraId="1F417022" w14:textId="497BB19A" w:rsidR="00253DDC" w:rsidRPr="008C4F1F" w:rsidRDefault="00253DD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7B29BCDB" w14:textId="77777777" w:rsidR="00880986" w:rsidRPr="00970B4B" w:rsidRDefault="00880986" w:rsidP="004A3CF1">
      <w:pPr>
        <w:rPr>
          <w:sz w:val="22"/>
          <w:szCs w:val="22"/>
          <w:lang w:val="fi-FI"/>
        </w:rPr>
      </w:pPr>
    </w:p>
    <w:p w14:paraId="50EF599B" w14:textId="77777777" w:rsidR="00860B61" w:rsidRDefault="00860B61" w:rsidP="00901A59">
      <w:pPr>
        <w:rPr>
          <w:lang w:val="fi-FI"/>
        </w:rPr>
      </w:pPr>
      <w:bookmarkStart w:id="0" w:name="_GoBack"/>
      <w:bookmarkEnd w:id="0"/>
    </w:p>
    <w:sectPr w:rsidR="00860B61" w:rsidSect="00F45F39">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62A7" w14:textId="77777777" w:rsidR="00E874FA" w:rsidRDefault="00E874FA" w:rsidP="00394FD4">
      <w:pPr>
        <w:spacing w:before="0" w:after="0" w:line="240" w:lineRule="auto"/>
      </w:pPr>
      <w:r>
        <w:separator/>
      </w:r>
    </w:p>
  </w:endnote>
  <w:endnote w:type="continuationSeparator" w:id="0">
    <w:p w14:paraId="758C2AEA" w14:textId="77777777" w:rsidR="00E874FA" w:rsidRDefault="00E874FA" w:rsidP="00394F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116ED" w14:textId="77777777" w:rsidR="00E874FA" w:rsidRDefault="00E874FA" w:rsidP="00394FD4">
      <w:pPr>
        <w:spacing w:before="0" w:after="0" w:line="240" w:lineRule="auto"/>
      </w:pPr>
      <w:r>
        <w:separator/>
      </w:r>
    </w:p>
  </w:footnote>
  <w:footnote w:type="continuationSeparator" w:id="0">
    <w:p w14:paraId="00E63862" w14:textId="77777777" w:rsidR="00E874FA" w:rsidRDefault="00E874FA" w:rsidP="00394FD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A740" w14:textId="77777777" w:rsidR="00394FD4" w:rsidRPr="00936B0F" w:rsidRDefault="00394FD4" w:rsidP="00394FD4">
    <w:pPr>
      <w:pStyle w:val="Heading1"/>
      <w:rPr>
        <w:rFonts w:eastAsia="Times New Roman"/>
        <w:lang w:val="fi-FI"/>
      </w:rPr>
    </w:pPr>
    <w:r>
      <w:rPr>
        <w:lang w:val="fi-FI"/>
      </w:rPr>
      <w:t xml:space="preserve">Viite: </w:t>
    </w:r>
    <w:r w:rsidRPr="00394776">
      <w:rPr>
        <w:rFonts w:ascii="Calibri" w:hAnsi="Calibri"/>
        <w:color w:val="1F497D"/>
        <w:lang w:val="fi-FI"/>
      </w:rPr>
      <w:t>OKM/44/592/2017</w:t>
    </w:r>
  </w:p>
  <w:p w14:paraId="1DAD7543" w14:textId="650BC461" w:rsidR="00394FD4" w:rsidRPr="00394FD4" w:rsidRDefault="00394FD4">
    <w:pPr>
      <w:pStyle w:val="Head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55891"/>
    <w:multiLevelType w:val="multilevel"/>
    <w:tmpl w:val="77206E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1"/>
  </w:num>
  <w:num w:numId="4">
    <w:abstractNumId w:val="6"/>
  </w:num>
  <w:num w:numId="5">
    <w:abstractNumId w:val="4"/>
  </w:num>
  <w:num w:numId="6">
    <w:abstractNumId w:val="18"/>
  </w:num>
  <w:num w:numId="7">
    <w:abstractNumId w:val="26"/>
  </w:num>
  <w:num w:numId="8">
    <w:abstractNumId w:val="0"/>
  </w:num>
  <w:num w:numId="9">
    <w:abstractNumId w:val="23"/>
  </w:num>
  <w:num w:numId="10">
    <w:abstractNumId w:val="7"/>
  </w:num>
  <w:num w:numId="11">
    <w:abstractNumId w:val="24"/>
  </w:num>
  <w:num w:numId="12">
    <w:abstractNumId w:val="19"/>
  </w:num>
  <w:num w:numId="13">
    <w:abstractNumId w:val="16"/>
  </w:num>
  <w:num w:numId="14">
    <w:abstractNumId w:val="5"/>
  </w:num>
  <w:num w:numId="15">
    <w:abstractNumId w:val="11"/>
  </w:num>
  <w:num w:numId="16">
    <w:abstractNumId w:val="12"/>
  </w:num>
  <w:num w:numId="17">
    <w:abstractNumId w:val="15"/>
  </w:num>
  <w:num w:numId="18">
    <w:abstractNumId w:val="9"/>
  </w:num>
  <w:num w:numId="19">
    <w:abstractNumId w:val="13"/>
  </w:num>
  <w:num w:numId="20">
    <w:abstractNumId w:val="3"/>
  </w:num>
  <w:num w:numId="21">
    <w:abstractNumId w:val="8"/>
  </w:num>
  <w:num w:numId="22">
    <w:abstractNumId w:val="25"/>
  </w:num>
  <w:num w:numId="23">
    <w:abstractNumId w:val="1"/>
  </w:num>
  <w:num w:numId="24">
    <w:abstractNumId w:val="17"/>
  </w:num>
  <w:num w:numId="25">
    <w:abstractNumId w:val="14"/>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1914"/>
    <w:rsid w:val="000149CC"/>
    <w:rsid w:val="00064E8A"/>
    <w:rsid w:val="0007175F"/>
    <w:rsid w:val="00076CCB"/>
    <w:rsid w:val="000A1B5C"/>
    <w:rsid w:val="000B092B"/>
    <w:rsid w:val="000B6255"/>
    <w:rsid w:val="000C2215"/>
    <w:rsid w:val="000D0217"/>
    <w:rsid w:val="000D63E9"/>
    <w:rsid w:val="001870B6"/>
    <w:rsid w:val="001910AB"/>
    <w:rsid w:val="001F083C"/>
    <w:rsid w:val="001F09A6"/>
    <w:rsid w:val="00233F91"/>
    <w:rsid w:val="00240208"/>
    <w:rsid w:val="00244B66"/>
    <w:rsid w:val="00252460"/>
    <w:rsid w:val="00253DDC"/>
    <w:rsid w:val="00291DEC"/>
    <w:rsid w:val="002A4F29"/>
    <w:rsid w:val="002A51A8"/>
    <w:rsid w:val="002A7544"/>
    <w:rsid w:val="002C175A"/>
    <w:rsid w:val="002C6E9E"/>
    <w:rsid w:val="002D3C3C"/>
    <w:rsid w:val="002E2B3C"/>
    <w:rsid w:val="002E5828"/>
    <w:rsid w:val="002F22BC"/>
    <w:rsid w:val="002F7A92"/>
    <w:rsid w:val="00342644"/>
    <w:rsid w:val="00381F6A"/>
    <w:rsid w:val="0039124B"/>
    <w:rsid w:val="003938A6"/>
    <w:rsid w:val="00394FD4"/>
    <w:rsid w:val="003E3373"/>
    <w:rsid w:val="0040748F"/>
    <w:rsid w:val="00413DE1"/>
    <w:rsid w:val="0041494A"/>
    <w:rsid w:val="004364E0"/>
    <w:rsid w:val="004406FF"/>
    <w:rsid w:val="00454513"/>
    <w:rsid w:val="00454997"/>
    <w:rsid w:val="004762B3"/>
    <w:rsid w:val="00483569"/>
    <w:rsid w:val="004A3CF1"/>
    <w:rsid w:val="004C3C2B"/>
    <w:rsid w:val="004F5417"/>
    <w:rsid w:val="005302C8"/>
    <w:rsid w:val="005878E2"/>
    <w:rsid w:val="00587B7C"/>
    <w:rsid w:val="005F3B90"/>
    <w:rsid w:val="005F6BD1"/>
    <w:rsid w:val="006155AC"/>
    <w:rsid w:val="006337A1"/>
    <w:rsid w:val="00634658"/>
    <w:rsid w:val="00634A89"/>
    <w:rsid w:val="00656939"/>
    <w:rsid w:val="006578CF"/>
    <w:rsid w:val="006617C1"/>
    <w:rsid w:val="00662791"/>
    <w:rsid w:val="00671587"/>
    <w:rsid w:val="00672953"/>
    <w:rsid w:val="00674793"/>
    <w:rsid w:val="00680D86"/>
    <w:rsid w:val="00681328"/>
    <w:rsid w:val="0068405F"/>
    <w:rsid w:val="00693271"/>
    <w:rsid w:val="006A280B"/>
    <w:rsid w:val="006A5EBB"/>
    <w:rsid w:val="006C1737"/>
    <w:rsid w:val="006F75FF"/>
    <w:rsid w:val="00706D0E"/>
    <w:rsid w:val="00712F3C"/>
    <w:rsid w:val="0072657A"/>
    <w:rsid w:val="00767C2D"/>
    <w:rsid w:val="00773B54"/>
    <w:rsid w:val="00791298"/>
    <w:rsid w:val="007A1792"/>
    <w:rsid w:val="007B4AEC"/>
    <w:rsid w:val="007C544B"/>
    <w:rsid w:val="007C6557"/>
    <w:rsid w:val="007D7526"/>
    <w:rsid w:val="007D7764"/>
    <w:rsid w:val="007E2538"/>
    <w:rsid w:val="007E4410"/>
    <w:rsid w:val="00806E04"/>
    <w:rsid w:val="00810827"/>
    <w:rsid w:val="00814179"/>
    <w:rsid w:val="00835E77"/>
    <w:rsid w:val="00860B61"/>
    <w:rsid w:val="008654F0"/>
    <w:rsid w:val="00880986"/>
    <w:rsid w:val="00890132"/>
    <w:rsid w:val="0089204D"/>
    <w:rsid w:val="00893B1F"/>
    <w:rsid w:val="008A0413"/>
    <w:rsid w:val="008A4F38"/>
    <w:rsid w:val="008B7F89"/>
    <w:rsid w:val="008C1FF0"/>
    <w:rsid w:val="008C2AED"/>
    <w:rsid w:val="008C4F1F"/>
    <w:rsid w:val="008F1438"/>
    <w:rsid w:val="00901A59"/>
    <w:rsid w:val="0092076E"/>
    <w:rsid w:val="00942359"/>
    <w:rsid w:val="00943E95"/>
    <w:rsid w:val="0095123D"/>
    <w:rsid w:val="009569BC"/>
    <w:rsid w:val="00957298"/>
    <w:rsid w:val="00970B4B"/>
    <w:rsid w:val="00985C2F"/>
    <w:rsid w:val="00987F15"/>
    <w:rsid w:val="009911AB"/>
    <w:rsid w:val="0099505F"/>
    <w:rsid w:val="009A24E3"/>
    <w:rsid w:val="009A523D"/>
    <w:rsid w:val="009B0CF4"/>
    <w:rsid w:val="009C7843"/>
    <w:rsid w:val="009D006B"/>
    <w:rsid w:val="009E775F"/>
    <w:rsid w:val="00A15D9D"/>
    <w:rsid w:val="00A2411A"/>
    <w:rsid w:val="00A2465A"/>
    <w:rsid w:val="00A24A51"/>
    <w:rsid w:val="00A46B19"/>
    <w:rsid w:val="00A5421B"/>
    <w:rsid w:val="00A92251"/>
    <w:rsid w:val="00AC0C2C"/>
    <w:rsid w:val="00AC5366"/>
    <w:rsid w:val="00AE0006"/>
    <w:rsid w:val="00AF435D"/>
    <w:rsid w:val="00B00CDA"/>
    <w:rsid w:val="00B02989"/>
    <w:rsid w:val="00B07EDC"/>
    <w:rsid w:val="00B11B9A"/>
    <w:rsid w:val="00B13CD6"/>
    <w:rsid w:val="00B41476"/>
    <w:rsid w:val="00B44AB5"/>
    <w:rsid w:val="00B457DF"/>
    <w:rsid w:val="00B63674"/>
    <w:rsid w:val="00B7242B"/>
    <w:rsid w:val="00B72F5A"/>
    <w:rsid w:val="00BB5B8A"/>
    <w:rsid w:val="00BB6CC4"/>
    <w:rsid w:val="00BE3A49"/>
    <w:rsid w:val="00C25BF8"/>
    <w:rsid w:val="00C353B2"/>
    <w:rsid w:val="00C75453"/>
    <w:rsid w:val="00C80BB4"/>
    <w:rsid w:val="00C97D6E"/>
    <w:rsid w:val="00CA481B"/>
    <w:rsid w:val="00CB6189"/>
    <w:rsid w:val="00CC11D8"/>
    <w:rsid w:val="00CC284C"/>
    <w:rsid w:val="00CC68CA"/>
    <w:rsid w:val="00CD5CAE"/>
    <w:rsid w:val="00D05A0E"/>
    <w:rsid w:val="00D07D98"/>
    <w:rsid w:val="00D14EBD"/>
    <w:rsid w:val="00D17D45"/>
    <w:rsid w:val="00D30BBC"/>
    <w:rsid w:val="00D455B4"/>
    <w:rsid w:val="00D65AA8"/>
    <w:rsid w:val="00D74741"/>
    <w:rsid w:val="00D87809"/>
    <w:rsid w:val="00DA2246"/>
    <w:rsid w:val="00DB3772"/>
    <w:rsid w:val="00DC759E"/>
    <w:rsid w:val="00DE6082"/>
    <w:rsid w:val="00E20356"/>
    <w:rsid w:val="00E47C2E"/>
    <w:rsid w:val="00E50B64"/>
    <w:rsid w:val="00E776EC"/>
    <w:rsid w:val="00E83244"/>
    <w:rsid w:val="00E874FA"/>
    <w:rsid w:val="00E91C78"/>
    <w:rsid w:val="00E96B2F"/>
    <w:rsid w:val="00EA2558"/>
    <w:rsid w:val="00EC6054"/>
    <w:rsid w:val="00EC6B20"/>
    <w:rsid w:val="00ED3D48"/>
    <w:rsid w:val="00EE338A"/>
    <w:rsid w:val="00EF28EB"/>
    <w:rsid w:val="00EF7925"/>
    <w:rsid w:val="00EF7CEB"/>
    <w:rsid w:val="00F01B84"/>
    <w:rsid w:val="00F0761F"/>
    <w:rsid w:val="00F42CD8"/>
    <w:rsid w:val="00F43EAF"/>
    <w:rsid w:val="00F45F39"/>
    <w:rsid w:val="00F862E5"/>
    <w:rsid w:val="00F867A1"/>
    <w:rsid w:val="00F97207"/>
    <w:rsid w:val="00FA595F"/>
    <w:rsid w:val="00FB0059"/>
    <w:rsid w:val="00FB24EC"/>
    <w:rsid w:val="00FC1B4B"/>
    <w:rsid w:val="00FC3A1B"/>
    <w:rsid w:val="00FE243E"/>
    <w:rsid w:val="00FE395C"/>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val="fi-FI" w:eastAsia="ja-JP"/>
    </w:rPr>
  </w:style>
  <w:style w:type="paragraph" w:styleId="Header">
    <w:name w:val="header"/>
    <w:basedOn w:val="Normal"/>
    <w:link w:val="HeaderChar"/>
    <w:uiPriority w:val="99"/>
    <w:unhideWhenUsed/>
    <w:rsid w:val="00394FD4"/>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394FD4"/>
  </w:style>
  <w:style w:type="paragraph" w:styleId="Footer">
    <w:name w:val="footer"/>
    <w:basedOn w:val="Normal"/>
    <w:link w:val="FooterChar"/>
    <w:uiPriority w:val="99"/>
    <w:unhideWhenUsed/>
    <w:rsid w:val="00394FD4"/>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39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2.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1A01DE-20DF-4052-9098-C7C19CB7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puuska</dc:creator>
  <cp:lastModifiedBy>Pirjo-Leena Forsström</cp:lastModifiedBy>
  <cp:revision>4</cp:revision>
  <cp:lastPrinted>2016-06-13T08:38:00Z</cp:lastPrinted>
  <dcterms:created xsi:type="dcterms:W3CDTF">2017-06-22T07:25:00Z</dcterms:created>
  <dcterms:modified xsi:type="dcterms:W3CDTF">2017-06-22T07:32:00Z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